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B0B99F5" w:rsidR="00587F6A" w:rsidRDefault="00E51F5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Vollelektronische Logikmodule</w:t>
      </w:r>
    </w:p>
    <w:p w14:paraId="642B2A4B" w14:textId="3B15997B" w:rsidR="001D7FE1" w:rsidRPr="00CD0399" w:rsidRDefault="00E51F52"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 stellt neue Gerätereihe vor</w:t>
      </w:r>
    </w:p>
    <w:p w14:paraId="670266A5" w14:textId="77777777" w:rsidR="00587F6A" w:rsidRDefault="00587F6A" w:rsidP="009B590E">
      <w:pPr>
        <w:rPr>
          <w:rFonts w:asciiTheme="minorHAnsi" w:hAnsiTheme="minorHAnsi" w:cstheme="minorHAnsi"/>
          <w:sz w:val="18"/>
          <w:szCs w:val="18"/>
        </w:rPr>
      </w:pPr>
    </w:p>
    <w:p w14:paraId="2D5E74FA" w14:textId="0F7887B6" w:rsidR="00B5573D" w:rsidRDefault="00E51F52" w:rsidP="00587F6A">
      <w:pPr>
        <w:rPr>
          <w:rFonts w:asciiTheme="minorHAnsi" w:hAnsiTheme="minorHAnsi" w:cstheme="minorHAnsi"/>
          <w:sz w:val="18"/>
          <w:szCs w:val="18"/>
        </w:rPr>
      </w:pPr>
      <w:r>
        <w:rPr>
          <w:rFonts w:asciiTheme="minorHAnsi" w:hAnsiTheme="minorHAnsi" w:cstheme="minorHAnsi"/>
          <w:sz w:val="18"/>
          <w:szCs w:val="18"/>
        </w:rPr>
        <w:t xml:space="preserve">ipf electronic gehört zu den Pionieren im Bereich Logikverteiler, denn das Unternehmen stellte bereits vor mehr als 20 Jahren </w:t>
      </w:r>
      <w:r w:rsidR="00FF3F3B">
        <w:rPr>
          <w:rFonts w:asciiTheme="minorHAnsi" w:hAnsiTheme="minorHAnsi" w:cstheme="minorHAnsi"/>
          <w:sz w:val="18"/>
          <w:szCs w:val="18"/>
        </w:rPr>
        <w:t xml:space="preserve">eines der ersten </w:t>
      </w:r>
      <w:r>
        <w:rPr>
          <w:rFonts w:asciiTheme="minorHAnsi" w:hAnsiTheme="minorHAnsi" w:cstheme="minorHAnsi"/>
          <w:sz w:val="18"/>
          <w:szCs w:val="18"/>
        </w:rPr>
        <w:t>Logikmodul</w:t>
      </w:r>
      <w:r w:rsidR="00FF3F3B">
        <w:rPr>
          <w:rFonts w:asciiTheme="minorHAnsi" w:hAnsiTheme="minorHAnsi" w:cstheme="minorHAnsi"/>
          <w:sz w:val="18"/>
          <w:szCs w:val="18"/>
        </w:rPr>
        <w:t>e</w:t>
      </w:r>
      <w:r>
        <w:rPr>
          <w:rFonts w:asciiTheme="minorHAnsi" w:hAnsiTheme="minorHAnsi" w:cstheme="minorHAnsi"/>
          <w:sz w:val="18"/>
          <w:szCs w:val="18"/>
        </w:rPr>
        <w:t xml:space="preserve"> vor. Nun präsentiert der Sensorspezialist aus Altena die ersten vollelektronischen Zweifach-Logikmodule in einer </w:t>
      </w:r>
      <w:r w:rsidR="00FF3F3B">
        <w:rPr>
          <w:rFonts w:asciiTheme="minorHAnsi" w:hAnsiTheme="minorHAnsi" w:cstheme="minorHAnsi"/>
          <w:sz w:val="18"/>
          <w:szCs w:val="18"/>
        </w:rPr>
        <w:t xml:space="preserve">kompletten </w:t>
      </w:r>
      <w:r>
        <w:rPr>
          <w:rFonts w:asciiTheme="minorHAnsi" w:hAnsiTheme="minorHAnsi" w:cstheme="minorHAnsi"/>
          <w:sz w:val="18"/>
          <w:szCs w:val="18"/>
        </w:rPr>
        <w:t>Gerätereihe</w:t>
      </w:r>
      <w:r w:rsidR="00FF3F3B">
        <w:rPr>
          <w:rFonts w:asciiTheme="minorHAnsi" w:hAnsiTheme="minorHAnsi" w:cstheme="minorHAnsi"/>
          <w:sz w:val="18"/>
          <w:szCs w:val="18"/>
        </w:rPr>
        <w:t xml:space="preserve"> mit verschiedenen Anschlüssen</w:t>
      </w:r>
      <w:r>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638AF964" w14:textId="517FEC75" w:rsidR="002F4845" w:rsidRDefault="00FF3F3B" w:rsidP="00587F6A">
      <w:pPr>
        <w:rPr>
          <w:rFonts w:asciiTheme="minorHAnsi" w:hAnsiTheme="minorHAnsi" w:cstheme="minorHAnsi"/>
          <w:sz w:val="18"/>
          <w:szCs w:val="18"/>
        </w:rPr>
      </w:pPr>
      <w:r>
        <w:rPr>
          <w:rFonts w:asciiTheme="minorHAnsi" w:hAnsiTheme="minorHAnsi" w:cstheme="minorHAnsi"/>
          <w:sz w:val="18"/>
          <w:szCs w:val="18"/>
        </w:rPr>
        <w:t>D</w:t>
      </w:r>
      <w:r w:rsidR="00C2341B">
        <w:rPr>
          <w:rFonts w:asciiTheme="minorHAnsi" w:hAnsiTheme="minorHAnsi" w:cstheme="minorHAnsi"/>
          <w:sz w:val="18"/>
          <w:szCs w:val="18"/>
        </w:rPr>
        <w:t xml:space="preserve">ie Logikmodule </w:t>
      </w:r>
      <w:r>
        <w:rPr>
          <w:rFonts w:asciiTheme="minorHAnsi" w:hAnsiTheme="minorHAnsi" w:cstheme="minorHAnsi"/>
          <w:sz w:val="18"/>
          <w:szCs w:val="18"/>
        </w:rPr>
        <w:t>VL150102 und VL150122</w:t>
      </w:r>
      <w:r w:rsidR="00886DF6">
        <w:rPr>
          <w:rFonts w:asciiTheme="minorHAnsi" w:hAnsiTheme="minorHAnsi" w:cstheme="minorHAnsi"/>
          <w:sz w:val="18"/>
          <w:szCs w:val="18"/>
        </w:rPr>
        <w:t xml:space="preserve"> (UND- bzw. ODER-Verknüpfung)</w:t>
      </w:r>
      <w:r>
        <w:rPr>
          <w:rFonts w:asciiTheme="minorHAnsi" w:hAnsiTheme="minorHAnsi" w:cstheme="minorHAnsi"/>
          <w:sz w:val="18"/>
          <w:szCs w:val="18"/>
        </w:rPr>
        <w:t xml:space="preserve"> verfügen über M8-Anschlüsse, während das VL170102 und das VL170122 für den M12-Anschluss konzipiert sind. Neu im Portfolio sind </w:t>
      </w:r>
      <w:r w:rsidR="002F4845">
        <w:rPr>
          <w:rFonts w:asciiTheme="minorHAnsi" w:hAnsiTheme="minorHAnsi" w:cstheme="minorHAnsi"/>
          <w:sz w:val="18"/>
          <w:szCs w:val="18"/>
        </w:rPr>
        <w:t xml:space="preserve">zudem </w:t>
      </w:r>
      <w:r w:rsidR="00C2341B">
        <w:rPr>
          <w:rFonts w:asciiTheme="minorHAnsi" w:hAnsiTheme="minorHAnsi" w:cstheme="minorHAnsi"/>
          <w:sz w:val="18"/>
          <w:szCs w:val="18"/>
        </w:rPr>
        <w:t xml:space="preserve">die Logikmodule </w:t>
      </w:r>
      <w:r w:rsidR="002F4845">
        <w:rPr>
          <w:rFonts w:asciiTheme="minorHAnsi" w:hAnsiTheme="minorHAnsi" w:cstheme="minorHAnsi"/>
          <w:sz w:val="18"/>
          <w:szCs w:val="18"/>
        </w:rPr>
        <w:t xml:space="preserve">VL160102 und das VL160122, die für den Sensoranschluss zwei 3-polige M8-Eingänge </w:t>
      </w:r>
      <w:r w:rsidR="00886DF6">
        <w:rPr>
          <w:rFonts w:asciiTheme="minorHAnsi" w:hAnsiTheme="minorHAnsi" w:cstheme="minorHAnsi"/>
          <w:sz w:val="18"/>
          <w:szCs w:val="18"/>
        </w:rPr>
        <w:t xml:space="preserve">und auf Steuerungsseite einen M12-Anschluss </w:t>
      </w:r>
      <w:r w:rsidR="002F4845">
        <w:rPr>
          <w:rFonts w:asciiTheme="minorHAnsi" w:hAnsiTheme="minorHAnsi" w:cstheme="minorHAnsi"/>
          <w:sz w:val="18"/>
          <w:szCs w:val="18"/>
        </w:rPr>
        <w:t>bereitstellen</w:t>
      </w:r>
      <w:r>
        <w:rPr>
          <w:rFonts w:asciiTheme="minorHAnsi" w:hAnsiTheme="minorHAnsi" w:cstheme="minorHAnsi"/>
          <w:sz w:val="18"/>
          <w:szCs w:val="18"/>
        </w:rPr>
        <w:t>.</w:t>
      </w:r>
      <w:r w:rsidR="002F4845">
        <w:rPr>
          <w:rFonts w:asciiTheme="minorHAnsi" w:hAnsiTheme="minorHAnsi" w:cstheme="minorHAnsi"/>
          <w:sz w:val="18"/>
          <w:szCs w:val="18"/>
        </w:rPr>
        <w:t xml:space="preserve"> Somit deckt ipf electronic mit dieser neuen Gerätereihe an vollelektronischen Zweifach-Logikmodulen sämtliche Anschlussvarianten ab.</w:t>
      </w:r>
      <w:r>
        <w:rPr>
          <w:rFonts w:asciiTheme="minorHAnsi" w:hAnsiTheme="minorHAnsi" w:cstheme="minorHAnsi"/>
          <w:sz w:val="18"/>
          <w:szCs w:val="18"/>
        </w:rPr>
        <w:t xml:space="preserve"> </w:t>
      </w:r>
    </w:p>
    <w:p w14:paraId="23C60A2B" w14:textId="77777777" w:rsidR="002F4845" w:rsidRDefault="002F4845" w:rsidP="00587F6A">
      <w:pPr>
        <w:rPr>
          <w:rFonts w:asciiTheme="minorHAnsi" w:hAnsiTheme="minorHAnsi" w:cstheme="minorHAnsi"/>
          <w:sz w:val="18"/>
          <w:szCs w:val="18"/>
        </w:rPr>
      </w:pPr>
    </w:p>
    <w:p w14:paraId="0C7F4372" w14:textId="7F019066" w:rsidR="002F4845" w:rsidRDefault="002F4845" w:rsidP="00587F6A">
      <w:pPr>
        <w:rPr>
          <w:rFonts w:asciiTheme="minorHAnsi" w:hAnsiTheme="minorHAnsi" w:cstheme="minorHAnsi"/>
          <w:sz w:val="18"/>
          <w:szCs w:val="18"/>
        </w:rPr>
      </w:pPr>
      <w:r>
        <w:rPr>
          <w:rFonts w:asciiTheme="minorHAnsi" w:hAnsiTheme="minorHAnsi" w:cstheme="minorHAnsi"/>
          <w:sz w:val="18"/>
          <w:szCs w:val="18"/>
        </w:rPr>
        <w:t>Die Ausgänge der an den Logikmodulen VL1</w:t>
      </w:r>
      <w:r w:rsidR="002A4DEF">
        <w:rPr>
          <w:rFonts w:asciiTheme="minorHAnsi" w:hAnsiTheme="minorHAnsi" w:cstheme="minorHAnsi"/>
          <w:sz w:val="18"/>
          <w:szCs w:val="18"/>
        </w:rPr>
        <w:t>5</w:t>
      </w:r>
      <w:r>
        <w:rPr>
          <w:rFonts w:asciiTheme="minorHAnsi" w:hAnsiTheme="minorHAnsi" w:cstheme="minorHAnsi"/>
          <w:sz w:val="18"/>
          <w:szCs w:val="18"/>
        </w:rPr>
        <w:t xml:space="preserve">0102, VL160102 und VL170102 angeschlossenen Sensoren werden über die integrierte Elektronik UND-verknüpft, sodass der Schaltausgang des Verteilers erst dann aktiv wird, wenn die Schaltausgänge beider Sensoren gleichzeitig eingeschaltet sind. </w:t>
      </w:r>
      <w:r w:rsidR="00863DA0">
        <w:rPr>
          <w:rFonts w:asciiTheme="minorHAnsi" w:hAnsiTheme="minorHAnsi" w:cstheme="minorHAnsi"/>
          <w:sz w:val="18"/>
          <w:szCs w:val="18"/>
        </w:rPr>
        <w:t xml:space="preserve">Konventionelle Lösungen schalten indes die angeschlossenen Geräte über eine interne Verdrahtung in Reihe. </w:t>
      </w:r>
      <w:r w:rsidR="00886DF6">
        <w:rPr>
          <w:rFonts w:asciiTheme="minorHAnsi" w:hAnsiTheme="minorHAnsi" w:cstheme="minorHAnsi"/>
          <w:sz w:val="18"/>
          <w:szCs w:val="18"/>
        </w:rPr>
        <w:t>D</w:t>
      </w:r>
      <w:r w:rsidR="00863DA0">
        <w:rPr>
          <w:rFonts w:asciiTheme="minorHAnsi" w:hAnsiTheme="minorHAnsi" w:cstheme="minorHAnsi"/>
          <w:sz w:val="18"/>
          <w:szCs w:val="18"/>
        </w:rPr>
        <w:t>er Schaltausgang des ersten Sensors</w:t>
      </w:r>
      <w:r w:rsidR="00886DF6">
        <w:rPr>
          <w:rFonts w:asciiTheme="minorHAnsi" w:hAnsiTheme="minorHAnsi" w:cstheme="minorHAnsi"/>
          <w:sz w:val="18"/>
          <w:szCs w:val="18"/>
        </w:rPr>
        <w:t xml:space="preserve"> liefert daher </w:t>
      </w:r>
      <w:r w:rsidR="00863DA0">
        <w:rPr>
          <w:rFonts w:asciiTheme="minorHAnsi" w:hAnsiTheme="minorHAnsi" w:cstheme="minorHAnsi"/>
          <w:sz w:val="18"/>
          <w:szCs w:val="18"/>
        </w:rPr>
        <w:t xml:space="preserve">intern die Betriebsspannung für den zweiten Sensor, dessen Ausgang dann als Schaltausgang für den Verteiler fungiert. Je nach Spannungsabfall bzw. Anlaufstrom eines Sensors </w:t>
      </w:r>
      <w:r w:rsidR="00886DF6">
        <w:rPr>
          <w:rFonts w:asciiTheme="minorHAnsi" w:hAnsiTheme="minorHAnsi" w:cstheme="minorHAnsi"/>
          <w:sz w:val="18"/>
          <w:szCs w:val="18"/>
        </w:rPr>
        <w:t xml:space="preserve">können </w:t>
      </w:r>
      <w:r w:rsidR="00863DA0">
        <w:rPr>
          <w:rFonts w:asciiTheme="minorHAnsi" w:hAnsiTheme="minorHAnsi" w:cstheme="minorHAnsi"/>
          <w:sz w:val="18"/>
          <w:szCs w:val="18"/>
        </w:rPr>
        <w:t>derartige Reihenschaltungen zu einem unsicheren Schaltverhalten</w:t>
      </w:r>
      <w:r w:rsidR="00E359CD">
        <w:rPr>
          <w:rFonts w:asciiTheme="minorHAnsi" w:hAnsiTheme="minorHAnsi" w:cstheme="minorHAnsi"/>
          <w:sz w:val="18"/>
          <w:szCs w:val="18"/>
        </w:rPr>
        <w:t xml:space="preserve"> führen. Dies ist vor allem bei Steuerungen der Fall, d</w:t>
      </w:r>
      <w:r w:rsidR="00863DA0">
        <w:rPr>
          <w:rFonts w:asciiTheme="minorHAnsi" w:hAnsiTheme="minorHAnsi" w:cstheme="minorHAnsi"/>
          <w:sz w:val="18"/>
          <w:szCs w:val="18"/>
        </w:rPr>
        <w:t>ie einen bestimmten Spannungspegel benötigen.</w:t>
      </w:r>
    </w:p>
    <w:p w14:paraId="0DC61695" w14:textId="2254B30A" w:rsidR="002F4845" w:rsidRDefault="002F4845" w:rsidP="00587F6A">
      <w:pPr>
        <w:rPr>
          <w:rFonts w:asciiTheme="minorHAnsi" w:hAnsiTheme="minorHAnsi" w:cstheme="minorHAnsi"/>
          <w:sz w:val="18"/>
          <w:szCs w:val="18"/>
        </w:rPr>
      </w:pPr>
    </w:p>
    <w:p w14:paraId="176FB372" w14:textId="36023C8F" w:rsidR="00863DA0" w:rsidRDefault="00863DA0" w:rsidP="00863DA0">
      <w:pPr>
        <w:rPr>
          <w:rFonts w:asciiTheme="minorHAnsi" w:hAnsiTheme="minorHAnsi" w:cstheme="minorHAnsi"/>
          <w:sz w:val="18"/>
          <w:szCs w:val="18"/>
        </w:rPr>
      </w:pPr>
      <w:r>
        <w:rPr>
          <w:rFonts w:asciiTheme="minorHAnsi" w:hAnsiTheme="minorHAnsi" w:cstheme="minorHAnsi"/>
          <w:sz w:val="18"/>
          <w:szCs w:val="18"/>
        </w:rPr>
        <w:t xml:space="preserve">Die integrierte Elektronik der neuen Logikmodule VL150102, VL160102 und VL170102 </w:t>
      </w:r>
      <w:r w:rsidR="00E359CD">
        <w:rPr>
          <w:rFonts w:asciiTheme="minorHAnsi" w:hAnsiTheme="minorHAnsi" w:cstheme="minorHAnsi"/>
          <w:sz w:val="18"/>
          <w:szCs w:val="18"/>
        </w:rPr>
        <w:t xml:space="preserve">vermeidet solche Probleme, da sie dafür </w:t>
      </w:r>
      <w:r>
        <w:rPr>
          <w:rFonts w:asciiTheme="minorHAnsi" w:hAnsiTheme="minorHAnsi" w:cstheme="minorHAnsi"/>
          <w:sz w:val="18"/>
          <w:szCs w:val="18"/>
        </w:rPr>
        <w:t>sorgt</w:t>
      </w:r>
      <w:r w:rsidR="00E359CD">
        <w:rPr>
          <w:rFonts w:asciiTheme="minorHAnsi" w:hAnsiTheme="minorHAnsi" w:cstheme="minorHAnsi"/>
          <w:sz w:val="18"/>
          <w:szCs w:val="18"/>
        </w:rPr>
        <w:t xml:space="preserve">, </w:t>
      </w:r>
      <w:r>
        <w:rPr>
          <w:rFonts w:asciiTheme="minorHAnsi" w:hAnsiTheme="minorHAnsi" w:cstheme="minorHAnsi"/>
          <w:sz w:val="18"/>
          <w:szCs w:val="18"/>
        </w:rPr>
        <w:t xml:space="preserve">dass bei UND-Verknüpfungen </w:t>
      </w:r>
      <w:r w:rsidR="00E359CD">
        <w:rPr>
          <w:rFonts w:asciiTheme="minorHAnsi" w:hAnsiTheme="minorHAnsi" w:cstheme="minorHAnsi"/>
          <w:sz w:val="18"/>
          <w:szCs w:val="18"/>
        </w:rPr>
        <w:t xml:space="preserve">derart </w:t>
      </w:r>
      <w:r>
        <w:rPr>
          <w:rFonts w:asciiTheme="minorHAnsi" w:hAnsiTheme="minorHAnsi" w:cstheme="minorHAnsi"/>
          <w:sz w:val="18"/>
          <w:szCs w:val="18"/>
        </w:rPr>
        <w:t>„saubere“ Signale an der Steuerung anliegen, als ob nur ein Sensor angeschlossen wäre.</w:t>
      </w:r>
    </w:p>
    <w:p w14:paraId="26654E0B" w14:textId="24D84811" w:rsidR="00863DA0" w:rsidRDefault="00863DA0" w:rsidP="00587F6A">
      <w:pPr>
        <w:rPr>
          <w:rFonts w:asciiTheme="minorHAnsi" w:hAnsiTheme="minorHAnsi" w:cstheme="minorHAnsi"/>
          <w:sz w:val="18"/>
          <w:szCs w:val="18"/>
        </w:rPr>
      </w:pPr>
    </w:p>
    <w:p w14:paraId="0A914ED6" w14:textId="4B0C2B22" w:rsidR="00863DA0" w:rsidRDefault="00863DA0" w:rsidP="00863DA0">
      <w:pPr>
        <w:rPr>
          <w:rFonts w:asciiTheme="minorHAnsi" w:hAnsiTheme="minorHAnsi" w:cstheme="minorHAnsi"/>
          <w:sz w:val="18"/>
          <w:szCs w:val="18"/>
        </w:rPr>
      </w:pPr>
      <w:r>
        <w:rPr>
          <w:rFonts w:asciiTheme="minorHAnsi" w:hAnsiTheme="minorHAnsi" w:cstheme="minorHAnsi"/>
          <w:sz w:val="18"/>
          <w:szCs w:val="18"/>
        </w:rPr>
        <w:t>Gleiches gilt für die Logikmodule VL150122, VL160122 und VL170122. Hier sorgt die Elektronik dafür, dass die Ausgänge der an den Modulen angeschlossenen Sensoren ODER-verknüpft werden. De</w:t>
      </w:r>
      <w:r w:rsidR="00730D69">
        <w:rPr>
          <w:rFonts w:asciiTheme="minorHAnsi" w:hAnsiTheme="minorHAnsi" w:cstheme="minorHAnsi"/>
          <w:sz w:val="18"/>
          <w:szCs w:val="18"/>
        </w:rPr>
        <w:t>r</w:t>
      </w:r>
      <w:r>
        <w:rPr>
          <w:rFonts w:asciiTheme="minorHAnsi" w:hAnsiTheme="minorHAnsi" w:cstheme="minorHAnsi"/>
          <w:sz w:val="18"/>
          <w:szCs w:val="18"/>
        </w:rPr>
        <w:t xml:space="preserve"> Schaltausg</w:t>
      </w:r>
      <w:r w:rsidR="00886DF6">
        <w:rPr>
          <w:rFonts w:asciiTheme="minorHAnsi" w:hAnsiTheme="minorHAnsi" w:cstheme="minorHAnsi"/>
          <w:sz w:val="18"/>
          <w:szCs w:val="18"/>
        </w:rPr>
        <w:t>a</w:t>
      </w:r>
      <w:r>
        <w:rPr>
          <w:rFonts w:asciiTheme="minorHAnsi" w:hAnsiTheme="minorHAnsi" w:cstheme="minorHAnsi"/>
          <w:sz w:val="18"/>
          <w:szCs w:val="18"/>
        </w:rPr>
        <w:t xml:space="preserve">ng der Verteiler </w:t>
      </w:r>
      <w:r w:rsidR="00886DF6">
        <w:rPr>
          <w:rFonts w:asciiTheme="minorHAnsi" w:hAnsiTheme="minorHAnsi" w:cstheme="minorHAnsi"/>
          <w:sz w:val="18"/>
          <w:szCs w:val="18"/>
        </w:rPr>
        <w:t>ist</w:t>
      </w:r>
      <w:r>
        <w:rPr>
          <w:rFonts w:asciiTheme="minorHAnsi" w:hAnsiTheme="minorHAnsi" w:cstheme="minorHAnsi"/>
          <w:sz w:val="18"/>
          <w:szCs w:val="18"/>
        </w:rPr>
        <w:t xml:space="preserve"> immer dann aktiv, wenn mindestens einer der beiden an den Modulen angeschlossenen Sensoren eingeschaltet ist und </w:t>
      </w:r>
      <w:r w:rsidR="00E359CD">
        <w:rPr>
          <w:rFonts w:asciiTheme="minorHAnsi" w:hAnsiTheme="minorHAnsi" w:cstheme="minorHAnsi"/>
          <w:sz w:val="18"/>
          <w:szCs w:val="18"/>
        </w:rPr>
        <w:t>dass</w:t>
      </w:r>
      <w:r>
        <w:rPr>
          <w:rFonts w:asciiTheme="minorHAnsi" w:hAnsiTheme="minorHAnsi" w:cstheme="minorHAnsi"/>
          <w:sz w:val="18"/>
          <w:szCs w:val="18"/>
        </w:rPr>
        <w:t xml:space="preserve"> unabhängig davon, welches Gerät gerade schaltet.</w:t>
      </w:r>
    </w:p>
    <w:p w14:paraId="6E01CBD8" w14:textId="55F61D5F" w:rsidR="00863DA0" w:rsidRDefault="00863DA0" w:rsidP="00863DA0">
      <w:pPr>
        <w:rPr>
          <w:rFonts w:asciiTheme="minorHAnsi" w:hAnsiTheme="minorHAnsi" w:cstheme="minorHAnsi"/>
          <w:sz w:val="18"/>
          <w:szCs w:val="18"/>
        </w:rPr>
      </w:pPr>
    </w:p>
    <w:p w14:paraId="4E370D3A" w14:textId="32F510B6" w:rsidR="00863DA0" w:rsidRDefault="00863DA0" w:rsidP="00863DA0">
      <w:pPr>
        <w:rPr>
          <w:rFonts w:asciiTheme="minorHAnsi" w:hAnsiTheme="minorHAnsi" w:cstheme="minorHAnsi"/>
          <w:sz w:val="18"/>
          <w:szCs w:val="18"/>
        </w:rPr>
      </w:pPr>
      <w:r>
        <w:rPr>
          <w:rFonts w:asciiTheme="minorHAnsi" w:hAnsiTheme="minorHAnsi" w:cstheme="minorHAnsi"/>
          <w:sz w:val="18"/>
          <w:szCs w:val="18"/>
        </w:rPr>
        <w:t xml:space="preserve">Der Schaltzustand der Logikmodul-Ausgänge wird durch LEDs, durch das transparente Gehäuse deutlich sichtbar, signalisiert. Der Abstand zwischen den beiden </w:t>
      </w:r>
      <w:r w:rsidR="00E84720">
        <w:rPr>
          <w:rFonts w:asciiTheme="minorHAnsi" w:hAnsiTheme="minorHAnsi" w:cstheme="minorHAnsi"/>
          <w:sz w:val="18"/>
          <w:szCs w:val="18"/>
        </w:rPr>
        <w:t>B</w:t>
      </w:r>
      <w:r>
        <w:rPr>
          <w:rFonts w:asciiTheme="minorHAnsi" w:hAnsiTheme="minorHAnsi" w:cstheme="minorHAnsi"/>
          <w:sz w:val="18"/>
          <w:szCs w:val="18"/>
        </w:rPr>
        <w:t xml:space="preserve">uchsen für die Sensorausgänge ist </w:t>
      </w:r>
      <w:r w:rsidR="00E84720">
        <w:rPr>
          <w:rFonts w:asciiTheme="minorHAnsi" w:hAnsiTheme="minorHAnsi" w:cstheme="minorHAnsi"/>
          <w:sz w:val="18"/>
          <w:szCs w:val="18"/>
        </w:rPr>
        <w:t xml:space="preserve">bei allen Logikmodulen </w:t>
      </w:r>
      <w:r>
        <w:rPr>
          <w:rFonts w:asciiTheme="minorHAnsi" w:hAnsiTheme="minorHAnsi" w:cstheme="minorHAnsi"/>
          <w:sz w:val="18"/>
          <w:szCs w:val="18"/>
        </w:rPr>
        <w:t xml:space="preserve">so bemessen, dass ausreichend Platz für zwei selbstkonfektionierte Anschluss-Stecker zur Verfügung steht. </w:t>
      </w:r>
    </w:p>
    <w:p w14:paraId="5DD1A1BF" w14:textId="77777777" w:rsidR="00863DA0" w:rsidRDefault="00863DA0" w:rsidP="00863DA0">
      <w:pPr>
        <w:rPr>
          <w:rFonts w:asciiTheme="minorHAnsi" w:hAnsiTheme="minorHAnsi" w:cstheme="minorHAnsi"/>
          <w:sz w:val="18"/>
          <w:szCs w:val="18"/>
        </w:rPr>
      </w:pPr>
    </w:p>
    <w:p w14:paraId="226A498E" w14:textId="2C4DB316" w:rsidR="00B16AF5" w:rsidRDefault="008E0238" w:rsidP="00A65620">
      <w:pPr>
        <w:rPr>
          <w:rFonts w:asciiTheme="minorHAnsi" w:hAnsiTheme="minorHAnsi" w:cstheme="minorHAnsi"/>
          <w:sz w:val="18"/>
          <w:szCs w:val="18"/>
        </w:rPr>
      </w:pPr>
      <w:r>
        <w:rPr>
          <w:rFonts w:asciiTheme="minorHAnsi" w:hAnsiTheme="minorHAnsi" w:cstheme="minorHAnsi"/>
          <w:sz w:val="18"/>
          <w:szCs w:val="18"/>
        </w:rPr>
        <w:t xml:space="preserve"> </w:t>
      </w:r>
    </w:p>
    <w:p w14:paraId="689C5537" w14:textId="3AD75863" w:rsidR="00540DB0" w:rsidRDefault="00063D9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266A4A7" wp14:editId="64CF44E0">
            <wp:extent cx="6480175" cy="2579370"/>
            <wp:effectExtent l="12700" t="12700" r="9525" b="11430"/>
            <wp:docPr id="4" name="Grafik 4" descr="Ein Bild, das Teleskop, Projektor, Bohrmaschin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leskop, Projektor, Bohrmaschine, Licht enthält.&#10;&#10;Automatisch generierte Beschreibung"/>
                    <pic:cNvPicPr/>
                  </pic:nvPicPr>
                  <pic:blipFill>
                    <a:blip r:embed="rId13"/>
                    <a:stretch>
                      <a:fillRect/>
                    </a:stretch>
                  </pic:blipFill>
                  <pic:spPr>
                    <a:xfrm>
                      <a:off x="0" y="0"/>
                      <a:ext cx="6480175" cy="2579370"/>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22A8552E" w:rsidR="00E2792B" w:rsidRPr="00063D9F" w:rsidRDefault="002577AD" w:rsidP="00E84720">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359CD">
        <w:rPr>
          <w:rFonts w:asciiTheme="minorHAnsi" w:hAnsiTheme="minorHAnsi" w:cstheme="minorHAnsi"/>
          <w:sz w:val="18"/>
          <w:szCs w:val="18"/>
        </w:rPr>
        <w:t xml:space="preserve">Vollelektronisch statt intern verdrahtet: ipf electronic stellt mit den VL15, VL16 und VL17 eine komplette Reihe an Zweifach-Logikmodulen vor, die die angeschlossenen Geräte durch eine integrierte Elektronik verknüpft. </w:t>
      </w:r>
      <w:r w:rsidR="00E359CD" w:rsidRPr="00063D9F">
        <w:rPr>
          <w:rFonts w:asciiTheme="minorHAnsi" w:hAnsiTheme="minorHAnsi" w:cstheme="minorHAnsi"/>
          <w:sz w:val="18"/>
          <w:szCs w:val="18"/>
          <w:lang w:val="en-US"/>
        </w:rPr>
        <w:t xml:space="preserve">(Bild: </w:t>
      </w:r>
      <w:proofErr w:type="spellStart"/>
      <w:r w:rsidR="00E359CD" w:rsidRPr="00063D9F">
        <w:rPr>
          <w:rFonts w:asciiTheme="minorHAnsi" w:hAnsiTheme="minorHAnsi" w:cstheme="minorHAnsi"/>
          <w:sz w:val="18"/>
          <w:szCs w:val="18"/>
          <w:lang w:val="en-US"/>
        </w:rPr>
        <w:t>ipf</w:t>
      </w:r>
      <w:proofErr w:type="spellEnd"/>
      <w:r w:rsidR="00E359CD" w:rsidRPr="00063D9F">
        <w:rPr>
          <w:rFonts w:asciiTheme="minorHAnsi" w:hAnsiTheme="minorHAnsi" w:cstheme="minorHAnsi"/>
          <w:sz w:val="18"/>
          <w:szCs w:val="18"/>
          <w:lang w:val="en-US"/>
        </w:rPr>
        <w:t xml:space="preserve"> electronic)</w:t>
      </w:r>
      <w:r w:rsidR="00D32010" w:rsidRPr="00063D9F">
        <w:rPr>
          <w:rFonts w:asciiTheme="minorHAnsi" w:hAnsiTheme="minorHAnsi" w:cstheme="minorHAnsi"/>
          <w:sz w:val="18"/>
          <w:szCs w:val="18"/>
          <w:lang w:val="en-US"/>
        </w:rPr>
        <w:t xml:space="preserve"> </w:t>
      </w:r>
    </w:p>
    <w:p w14:paraId="71AE847F" w14:textId="4F1DF452" w:rsidR="002577AD" w:rsidRPr="00063D9F" w:rsidRDefault="002577AD" w:rsidP="00587F6A">
      <w:pPr>
        <w:rPr>
          <w:rFonts w:asciiTheme="minorHAnsi" w:hAnsiTheme="minorHAnsi" w:cstheme="minorHAnsi"/>
          <w:sz w:val="18"/>
          <w:szCs w:val="18"/>
          <w:lang w:val="en-US"/>
        </w:rPr>
      </w:pPr>
    </w:p>
    <w:p w14:paraId="4B32D51D" w14:textId="7E8EF01A" w:rsidR="002577AD" w:rsidRPr="00063D9F" w:rsidRDefault="002577AD" w:rsidP="00587F6A">
      <w:pPr>
        <w:rPr>
          <w:rFonts w:asciiTheme="minorHAnsi" w:hAnsiTheme="minorHAnsi" w:cstheme="minorHAnsi"/>
          <w:sz w:val="18"/>
          <w:szCs w:val="18"/>
          <w:lang w:val="en-US"/>
        </w:rPr>
      </w:pPr>
    </w:p>
    <w:p w14:paraId="4B1D0429" w14:textId="77777777" w:rsidR="00E2792B" w:rsidRPr="00063D9F" w:rsidRDefault="00E2792B" w:rsidP="00587F6A">
      <w:pPr>
        <w:rPr>
          <w:rFonts w:asciiTheme="minorHAnsi" w:hAnsiTheme="minorHAnsi" w:cstheme="minorHAnsi"/>
          <w:sz w:val="18"/>
          <w:szCs w:val="18"/>
          <w:lang w:val="en-US"/>
        </w:rPr>
      </w:pPr>
    </w:p>
    <w:p w14:paraId="12B30C55" w14:textId="77777777" w:rsidR="003F3E15" w:rsidRPr="00063D9F" w:rsidRDefault="003F3E15" w:rsidP="003F3E15">
      <w:pPr>
        <w:keepNext/>
        <w:keepLines/>
        <w:autoSpaceDE w:val="0"/>
        <w:autoSpaceDN w:val="0"/>
        <w:adjustRightInd w:val="0"/>
        <w:spacing w:line="240" w:lineRule="exact"/>
        <w:ind w:right="-1"/>
        <w:rPr>
          <w:rFonts w:asciiTheme="minorHAnsi" w:hAnsiTheme="minorHAnsi"/>
          <w:b/>
          <w:i/>
          <w:sz w:val="24"/>
          <w:szCs w:val="24"/>
          <w:lang w:val="en-US"/>
        </w:rPr>
      </w:pPr>
    </w:p>
    <w:p w14:paraId="63339AA3" w14:textId="77777777" w:rsidR="002D285F" w:rsidRPr="00063D9F" w:rsidRDefault="002D285F" w:rsidP="002D285F">
      <w:pPr>
        <w:keepNext/>
        <w:keepLines/>
        <w:autoSpaceDE w:val="0"/>
        <w:autoSpaceDN w:val="0"/>
        <w:adjustRightInd w:val="0"/>
        <w:spacing w:line="240" w:lineRule="exact"/>
        <w:ind w:right="-1"/>
        <w:rPr>
          <w:rFonts w:asciiTheme="minorHAnsi" w:hAnsiTheme="minorHAnsi" w:cstheme="minorHAnsi"/>
          <w:sz w:val="24"/>
          <w:szCs w:val="24"/>
          <w:lang w:val="en-US"/>
        </w:rPr>
      </w:pPr>
      <w:r w:rsidRPr="00063D9F">
        <w:rPr>
          <w:rFonts w:asciiTheme="minorHAnsi" w:hAnsiTheme="minorHAnsi"/>
          <w:b/>
          <w:i/>
          <w:sz w:val="24"/>
          <w:szCs w:val="24"/>
          <w:lang w:val="en-US"/>
        </w:rPr>
        <w:t>IPF ELECTRONIC AUF DER SPS:</w:t>
      </w:r>
      <w:r w:rsidRPr="00063D9F">
        <w:rPr>
          <w:rFonts w:asciiTheme="minorHAnsi" w:hAnsiTheme="minorHAnsi"/>
          <w:b/>
          <w:i/>
          <w:sz w:val="24"/>
          <w:szCs w:val="24"/>
          <w:lang w:val="en-US"/>
        </w:rPr>
        <w:br/>
      </w:r>
      <w:r w:rsidRPr="00063D9F">
        <w:rPr>
          <w:rFonts w:asciiTheme="minorHAnsi" w:hAnsiTheme="minorHAnsi" w:cstheme="minorHAnsi"/>
          <w:b/>
          <w:i/>
          <w:color w:val="FF0000"/>
          <w:sz w:val="24"/>
          <w:szCs w:val="24"/>
          <w:lang w:val="en-US"/>
        </w:rPr>
        <w:t>HALLE 7A, STAND 400</w:t>
      </w:r>
      <w:r w:rsidRPr="00063D9F">
        <w:rPr>
          <w:rFonts w:asciiTheme="minorHAnsi" w:hAnsiTheme="minorHAnsi" w:cstheme="minorHAnsi"/>
          <w:sz w:val="24"/>
          <w:szCs w:val="24"/>
          <w:lang w:val="en-US"/>
        </w:rPr>
        <w:t xml:space="preserve"> </w:t>
      </w:r>
    </w:p>
    <w:p w14:paraId="33356480" w14:textId="7D397763" w:rsidR="001316E7" w:rsidRPr="00063D9F" w:rsidRDefault="001316E7">
      <w:pPr>
        <w:rPr>
          <w:rFonts w:asciiTheme="minorHAnsi" w:hAnsiTheme="minorHAnsi" w:cstheme="minorHAnsi"/>
          <w:sz w:val="18"/>
          <w:szCs w:val="18"/>
          <w:lang w:val="en-US"/>
        </w:rPr>
      </w:pPr>
      <w:r w:rsidRPr="00063D9F">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E6466B"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E6466B"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27619" w14:textId="77777777" w:rsidR="00E6466B" w:rsidRDefault="00E6466B">
      <w:r>
        <w:separator/>
      </w:r>
    </w:p>
  </w:endnote>
  <w:endnote w:type="continuationSeparator" w:id="0">
    <w:p w14:paraId="234F7C6A" w14:textId="77777777" w:rsidR="00E6466B" w:rsidRDefault="00E6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A4DEF">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A4DEF">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F5E4B" w14:textId="77777777" w:rsidR="00E6466B" w:rsidRDefault="00E6466B">
      <w:r>
        <w:separator/>
      </w:r>
    </w:p>
  </w:footnote>
  <w:footnote w:type="continuationSeparator" w:id="0">
    <w:p w14:paraId="17195F7F" w14:textId="77777777" w:rsidR="00E6466B" w:rsidRDefault="00E64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3D9F"/>
    <w:rsid w:val="000641B1"/>
    <w:rsid w:val="0006533C"/>
    <w:rsid w:val="00070A26"/>
    <w:rsid w:val="000725D8"/>
    <w:rsid w:val="00085021"/>
    <w:rsid w:val="00085B2E"/>
    <w:rsid w:val="00090D3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59FB"/>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A4DEF"/>
    <w:rsid w:val="002B362F"/>
    <w:rsid w:val="002B7FAA"/>
    <w:rsid w:val="002D285F"/>
    <w:rsid w:val="002D34FA"/>
    <w:rsid w:val="002E1CDF"/>
    <w:rsid w:val="002E3B28"/>
    <w:rsid w:val="002F0844"/>
    <w:rsid w:val="002F150B"/>
    <w:rsid w:val="002F4845"/>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56FF9"/>
    <w:rsid w:val="00465078"/>
    <w:rsid w:val="0046540A"/>
    <w:rsid w:val="00477BAC"/>
    <w:rsid w:val="00491D98"/>
    <w:rsid w:val="00495652"/>
    <w:rsid w:val="00495E2B"/>
    <w:rsid w:val="004A119B"/>
    <w:rsid w:val="004A354F"/>
    <w:rsid w:val="004A4207"/>
    <w:rsid w:val="004B03AD"/>
    <w:rsid w:val="004B6255"/>
    <w:rsid w:val="004C55EB"/>
    <w:rsid w:val="004D27E9"/>
    <w:rsid w:val="004D2CB7"/>
    <w:rsid w:val="004E4316"/>
    <w:rsid w:val="004F2D63"/>
    <w:rsid w:val="004F7353"/>
    <w:rsid w:val="005027CA"/>
    <w:rsid w:val="00504055"/>
    <w:rsid w:val="0050768E"/>
    <w:rsid w:val="0051037D"/>
    <w:rsid w:val="00511A0D"/>
    <w:rsid w:val="00513153"/>
    <w:rsid w:val="00521DA4"/>
    <w:rsid w:val="005230CD"/>
    <w:rsid w:val="00525458"/>
    <w:rsid w:val="00525B3E"/>
    <w:rsid w:val="00540DB0"/>
    <w:rsid w:val="005419B7"/>
    <w:rsid w:val="00545E6B"/>
    <w:rsid w:val="005542D8"/>
    <w:rsid w:val="00555C64"/>
    <w:rsid w:val="00555D2C"/>
    <w:rsid w:val="00556FEC"/>
    <w:rsid w:val="0055763D"/>
    <w:rsid w:val="00564335"/>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1F99"/>
    <w:rsid w:val="00704E98"/>
    <w:rsid w:val="0070549A"/>
    <w:rsid w:val="007131DD"/>
    <w:rsid w:val="00713AD5"/>
    <w:rsid w:val="00720B7D"/>
    <w:rsid w:val="00721D08"/>
    <w:rsid w:val="00724F53"/>
    <w:rsid w:val="00730AF5"/>
    <w:rsid w:val="00730D69"/>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7F7B"/>
    <w:rsid w:val="00863DA0"/>
    <w:rsid w:val="00875B2D"/>
    <w:rsid w:val="00882D42"/>
    <w:rsid w:val="00886B00"/>
    <w:rsid w:val="00886DF6"/>
    <w:rsid w:val="0089263F"/>
    <w:rsid w:val="008A24A3"/>
    <w:rsid w:val="008A3D65"/>
    <w:rsid w:val="008A5F7F"/>
    <w:rsid w:val="008B3690"/>
    <w:rsid w:val="008B388D"/>
    <w:rsid w:val="008B4592"/>
    <w:rsid w:val="008C25A7"/>
    <w:rsid w:val="008C3BDB"/>
    <w:rsid w:val="008C5BAF"/>
    <w:rsid w:val="008C6398"/>
    <w:rsid w:val="008D22AA"/>
    <w:rsid w:val="008D24C0"/>
    <w:rsid w:val="008E0238"/>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2341B"/>
    <w:rsid w:val="00C30E81"/>
    <w:rsid w:val="00C60A43"/>
    <w:rsid w:val="00C61C60"/>
    <w:rsid w:val="00C62C8B"/>
    <w:rsid w:val="00C64116"/>
    <w:rsid w:val="00C6767D"/>
    <w:rsid w:val="00C67C53"/>
    <w:rsid w:val="00C776FF"/>
    <w:rsid w:val="00C94C34"/>
    <w:rsid w:val="00CA1E17"/>
    <w:rsid w:val="00CA68CF"/>
    <w:rsid w:val="00CB423A"/>
    <w:rsid w:val="00CB4417"/>
    <w:rsid w:val="00CC68C1"/>
    <w:rsid w:val="00CD0399"/>
    <w:rsid w:val="00CD5240"/>
    <w:rsid w:val="00CD5DDB"/>
    <w:rsid w:val="00CE1D4B"/>
    <w:rsid w:val="00D030A1"/>
    <w:rsid w:val="00D039FB"/>
    <w:rsid w:val="00D10E9E"/>
    <w:rsid w:val="00D21CAE"/>
    <w:rsid w:val="00D2708F"/>
    <w:rsid w:val="00D32010"/>
    <w:rsid w:val="00D342FC"/>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F5EDA"/>
    <w:rsid w:val="00E0553E"/>
    <w:rsid w:val="00E15F56"/>
    <w:rsid w:val="00E16A02"/>
    <w:rsid w:val="00E2792B"/>
    <w:rsid w:val="00E33E3F"/>
    <w:rsid w:val="00E3502C"/>
    <w:rsid w:val="00E359CD"/>
    <w:rsid w:val="00E51F52"/>
    <w:rsid w:val="00E56268"/>
    <w:rsid w:val="00E6466B"/>
    <w:rsid w:val="00E73373"/>
    <w:rsid w:val="00E74340"/>
    <w:rsid w:val="00E8472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7770B"/>
    <w:rsid w:val="00F827DE"/>
    <w:rsid w:val="00F82EE0"/>
    <w:rsid w:val="00F857B0"/>
    <w:rsid w:val="00F874B3"/>
    <w:rsid w:val="00F96724"/>
    <w:rsid w:val="00FA63BA"/>
    <w:rsid w:val="00FB4CD4"/>
    <w:rsid w:val="00FB5B4D"/>
    <w:rsid w:val="00FD071E"/>
    <w:rsid w:val="00FD4444"/>
    <w:rsid w:val="00FD7F80"/>
    <w:rsid w:val="00FE7F28"/>
    <w:rsid w:val="00FF3F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FD98E-80B7-419E-A89E-7E4B8704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4417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2021-09-22T12:46:00Z</dcterms:created>
  <dcterms:modified xsi:type="dcterms:W3CDTF">2021-09-27T06:30:00Z</dcterms:modified>
</cp:coreProperties>
</file>